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right="240"/>
        <w:jc w:val="both"/>
        <w:rPr>
          <w:rFonts w:hint="eastAsia" w:ascii="黑体" w:hAnsi="黑体" w:eastAsia="黑体" w:cs="黑体"/>
          <w:b w:val="0"/>
          <w:bCs w:val="0"/>
          <w:i w:val="0"/>
          <w:caps w:val="0"/>
          <w:color w:val="auto"/>
          <w:spacing w:val="0"/>
          <w:sz w:val="31"/>
          <w:szCs w:val="31"/>
          <w:shd w:val="clear" w:fill="FFFFFF"/>
          <w:lang w:eastAsia="zh-CN"/>
        </w:rPr>
      </w:pPr>
      <w:r>
        <w:rPr>
          <w:rFonts w:hint="eastAsia" w:ascii="黑体" w:hAnsi="黑体" w:eastAsia="黑体" w:cs="黑体"/>
          <w:b w:val="0"/>
          <w:bCs w:val="0"/>
          <w:i w:val="0"/>
          <w:caps w:val="0"/>
          <w:color w:val="auto"/>
          <w:spacing w:val="0"/>
          <w:sz w:val="31"/>
          <w:szCs w:val="31"/>
          <w:shd w:val="clear" w:fill="FFFFFF"/>
          <w:lang w:eastAsia="zh-CN"/>
        </w:rPr>
        <w:t>附件</w:t>
      </w:r>
      <w:r>
        <w:rPr>
          <w:rFonts w:hint="eastAsia" w:ascii="黑体" w:hAnsi="黑体" w:eastAsia="黑体" w:cs="黑体"/>
          <w:b w:val="0"/>
          <w:bCs w:val="0"/>
          <w:i w:val="0"/>
          <w:caps w:val="0"/>
          <w:color w:val="auto"/>
          <w:spacing w:val="0"/>
          <w:sz w:val="31"/>
          <w:szCs w:val="31"/>
          <w:shd w:val="clear" w:fill="FFFFFF"/>
          <w:lang w:val="en-US" w:eastAsia="zh-CN"/>
        </w:rPr>
        <w:t>2</w:t>
      </w:r>
      <w:r>
        <w:rPr>
          <w:rFonts w:hint="eastAsia" w:ascii="黑体" w:hAnsi="黑体" w:eastAsia="黑体" w:cs="黑体"/>
          <w:b w:val="0"/>
          <w:bCs w:val="0"/>
          <w:i w:val="0"/>
          <w:caps w:val="0"/>
          <w:color w:val="auto"/>
          <w:spacing w:val="0"/>
          <w:sz w:val="31"/>
          <w:szCs w:val="31"/>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70" w:lineRule="atLeast"/>
        <w:ind w:left="0" w:right="0"/>
        <w:jc w:val="center"/>
        <w:textAlignment w:val="auto"/>
        <w:outlineLvl w:val="9"/>
        <w:rPr>
          <w:rFonts w:hint="eastAsia" w:ascii="仿宋_GB2312" w:hAnsi="宋体" w:eastAsia="仿宋_GB2312" w:cs="仿宋_GB2312"/>
          <w:b w:val="0"/>
          <w:i w:val="0"/>
          <w:caps w:val="0"/>
          <w:color w:val="auto"/>
          <w:spacing w:val="0"/>
          <w:sz w:val="24"/>
          <w:szCs w:val="24"/>
          <w:shd w:val="clear" w:fill="FFFFFF"/>
          <w:lang w:val="en-US" w:eastAsia="zh-CN"/>
        </w:rPr>
      </w:pPr>
      <w:bookmarkStart w:id="0" w:name="_GoBack"/>
      <w:r>
        <w:rPr>
          <w:rFonts w:hint="eastAsia" w:ascii="黑体" w:hAnsi="黑体" w:eastAsia="黑体" w:cs="黑体"/>
          <w:b w:val="0"/>
          <w:bCs w:val="0"/>
          <w:i w:val="0"/>
          <w:caps w:val="0"/>
          <w:color w:val="auto"/>
          <w:spacing w:val="0"/>
          <w:sz w:val="31"/>
          <w:szCs w:val="31"/>
          <w:shd w:val="clear" w:fill="FFFFFF"/>
        </w:rPr>
        <w:t>20</w:t>
      </w:r>
      <w:r>
        <w:rPr>
          <w:rFonts w:hint="eastAsia" w:ascii="黑体" w:hAnsi="黑体" w:eastAsia="黑体" w:cs="黑体"/>
          <w:b w:val="0"/>
          <w:bCs w:val="0"/>
          <w:i w:val="0"/>
          <w:caps w:val="0"/>
          <w:color w:val="auto"/>
          <w:spacing w:val="0"/>
          <w:sz w:val="31"/>
          <w:szCs w:val="31"/>
          <w:shd w:val="clear" w:fill="FFFFFF"/>
          <w:lang w:val="en-US" w:eastAsia="zh-CN"/>
        </w:rPr>
        <w:t>22</w:t>
      </w:r>
      <w:r>
        <w:rPr>
          <w:rFonts w:hint="eastAsia" w:ascii="黑体" w:hAnsi="黑体" w:eastAsia="黑体" w:cs="黑体"/>
          <w:b w:val="0"/>
          <w:bCs w:val="0"/>
          <w:i w:val="0"/>
          <w:caps w:val="0"/>
          <w:color w:val="auto"/>
          <w:spacing w:val="0"/>
          <w:sz w:val="31"/>
          <w:szCs w:val="31"/>
          <w:shd w:val="clear" w:fill="FFFFFF"/>
        </w:rPr>
        <w:t>年</w:t>
      </w:r>
      <w:r>
        <w:rPr>
          <w:rFonts w:hint="eastAsia" w:ascii="黑体" w:hAnsi="黑体" w:eastAsia="黑体" w:cs="黑体"/>
          <w:b w:val="0"/>
          <w:bCs w:val="0"/>
          <w:i w:val="0"/>
          <w:caps w:val="0"/>
          <w:color w:val="auto"/>
          <w:spacing w:val="0"/>
          <w:sz w:val="31"/>
          <w:szCs w:val="31"/>
          <w:shd w:val="clear" w:fill="FFFFFF"/>
          <w:lang w:eastAsia="zh-CN"/>
        </w:rPr>
        <w:t>校级</w:t>
      </w:r>
      <w:r>
        <w:rPr>
          <w:rFonts w:hint="eastAsia" w:ascii="黑体" w:hAnsi="黑体" w:eastAsia="黑体" w:cs="黑体"/>
          <w:b w:val="0"/>
          <w:bCs w:val="0"/>
          <w:i w:val="0"/>
          <w:caps w:val="0"/>
          <w:color w:val="auto"/>
          <w:spacing w:val="0"/>
          <w:sz w:val="31"/>
          <w:szCs w:val="31"/>
          <w:shd w:val="clear" w:fill="FFFFFF"/>
        </w:rPr>
        <w:t>教学改革研究项目</w:t>
      </w:r>
      <w:r>
        <w:rPr>
          <w:rFonts w:hint="eastAsia" w:ascii="黑体" w:hAnsi="黑体" w:eastAsia="黑体" w:cs="黑体"/>
          <w:b w:val="0"/>
          <w:bCs w:val="0"/>
          <w:i w:val="0"/>
          <w:caps w:val="0"/>
          <w:color w:val="auto"/>
          <w:spacing w:val="0"/>
          <w:sz w:val="31"/>
          <w:szCs w:val="31"/>
          <w:shd w:val="clear" w:fill="FFFFFF"/>
          <w:lang w:eastAsia="zh-CN"/>
        </w:rPr>
        <w:t>申报</w:t>
      </w:r>
      <w:r>
        <w:rPr>
          <w:rFonts w:hint="eastAsia" w:ascii="黑体" w:hAnsi="黑体" w:eastAsia="黑体" w:cs="黑体"/>
          <w:b w:val="0"/>
          <w:bCs w:val="0"/>
          <w:i w:val="0"/>
          <w:caps w:val="0"/>
          <w:color w:val="auto"/>
          <w:spacing w:val="0"/>
          <w:sz w:val="31"/>
          <w:szCs w:val="31"/>
          <w:shd w:val="clear" w:fill="FFFFFF"/>
        </w:rPr>
        <w:t>遴选结果</w:t>
      </w:r>
      <w:bookmarkEnd w:id="0"/>
      <w:r>
        <w:rPr>
          <w:rFonts w:hint="eastAsia" w:ascii="仿宋_GB2312" w:hAnsi="宋体" w:eastAsia="仿宋_GB2312" w:cs="仿宋_GB2312"/>
          <w:b w:val="0"/>
          <w:i w:val="0"/>
          <w:caps w:val="0"/>
          <w:color w:val="auto"/>
          <w:spacing w:val="0"/>
          <w:sz w:val="24"/>
          <w:szCs w:val="24"/>
          <w:shd w:val="clear" w:fill="FFFFFF"/>
          <w:lang w:val="en-US" w:eastAsia="zh-CN"/>
        </w:rPr>
        <w:t xml:space="preserve">                                </w:t>
      </w:r>
    </w:p>
    <w:tbl>
      <w:tblPr>
        <w:tblStyle w:val="3"/>
        <w:tblW w:w="8313" w:type="dxa"/>
        <w:jc w:val="center"/>
        <w:tblCellSpacing w:w="0" w:type="dxa"/>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700"/>
        <w:gridCol w:w="5625"/>
        <w:gridCol w:w="885"/>
        <w:gridCol w:w="1103"/>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17"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序号</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项　　目　　名　　称</w:t>
            </w:r>
          </w:p>
        </w:tc>
        <w:tc>
          <w:tcPr>
            <w:tcW w:w="88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主持人</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项目类型</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2"/>
                <w:szCs w:val="22"/>
                <w:u w:val="none"/>
                <w:lang w:val="en-US" w:eastAsia="zh-CN" w:bidi="ar"/>
              </w:rPr>
              <w:t>1</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高校“思政课程”与“课程思政”教学同向同行实践路径研究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王婷</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2</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新工科背景下以OBE为导向的高等数学课程教学改革与实践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唐跃龙</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3</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 xml:space="preserve"> “双一流”视域下视觉传达设计专业“三化三创”创新型人才培养模式研究  </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陈红初</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4</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专业认证背景下有机化学实验教学改革与高素质人才培养探索</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李中燕</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5</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三全育人视域下“一中心二驱动三目标四融合”混合式“金课”建设研究与实践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胡蓉</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6</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2"/>
                <w:szCs w:val="22"/>
                <w:u w:val="none"/>
                <w:lang w:val="en-US" w:eastAsia="zh-CN" w:bidi="ar"/>
              </w:rPr>
              <w:t>基于产出导向的《仪器分析》课程“三轴联动”教学改革与实践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2"/>
                <w:szCs w:val="22"/>
                <w:u w:val="none"/>
                <w:lang w:val="en-US" w:eastAsia="zh-CN" w:bidi="ar"/>
              </w:rPr>
              <w:t>肖新生</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7</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2"/>
                <w:szCs w:val="22"/>
                <w:u w:val="none"/>
                <w:lang w:val="en-US" w:eastAsia="zh-CN" w:bidi="ar"/>
              </w:rPr>
              <w:t>基于教育信息化背景下环境设计专业课程个性化教学模式的创新研究与构建</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2"/>
                <w:szCs w:val="22"/>
                <w:u w:val="none"/>
                <w:lang w:val="en-US" w:eastAsia="zh-CN" w:bidi="ar"/>
              </w:rPr>
              <w:t>唐艺萍</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8</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 xml:space="preserve">课程思政视域下基于STEAM理念的“大学计算机基础（二）”课程教学改革探索与实践研究 </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刘倩兰</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9</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金课背景下概率统计课程“一二三四”教学模式改革与实践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林旭旭</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94"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10</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新工科背景下构建"OBE_CDIO+思政"信号处理课程群改革研究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李玲香</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11</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基于核心素养培育的高校器乐课程思政实践研究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刘兰倩</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right="0"/>
              <w:jc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12</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工程教育认证背景下《数控加工编程与应用》教学改革研究与实践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夏铁军</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13</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“课程思政”视域下的《中国音乐史》课程教学改革与实践研究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林春菲</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14</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思政元素在C语言课程教学中的创新融合与实践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周松青</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15</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高校教材信息化管理体系构建的探索与研究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苏阳阳</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16</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基于课程思政理念的“一体两翼三位式”大学英语教学模式研究与实践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刘婷</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17</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“立德树人”视域下《工程结构（一）》课程思政建设探索与实践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黄林华</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18</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法学本科教学中习近平法治思想内化教育研究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王锐</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19</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课程思政在普通高校《民族歌剧排练》课程中的探索与实践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龙湘菡</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20</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毛泽东诗词中蕴含的伟大建党精神融入“原理”课的方法研究与实践探索</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符小勇</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21</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地方本科院校新媒体环境下视听说课程思政探究与实践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张丽</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22</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《市场营销学》课程思政探索与建设实践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李若哲</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23</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新文科背景下地方应用型高校交互设计课程PBL教学模式实践与应用研究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张明星</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24</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新工科背景下传统工科专业基础课“三全育人”课程思政教学体系研究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王杨</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25</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“大思政课”背景下大学生廉洁教育“1314”模式的探索与实践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朱晶</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26</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红色本土资源融入大学生劳动教育课的应用与实践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胡晓</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27</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深化课程思政改革，创新推进课程育人---《操作系统》课程思政教学改革探索</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唐鹏飞</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28</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金课背景下“概论”课 “强化</w:t>
            </w:r>
            <w:r>
              <w:rPr>
                <w:rStyle w:val="8"/>
                <w:lang w:val="en-US" w:eastAsia="zh-CN" w:bidi="ar"/>
              </w:rPr>
              <w:t>•</w:t>
            </w:r>
            <w:r>
              <w:rPr>
                <w:rFonts w:hint="eastAsia" w:ascii="楷体" w:hAnsi="楷体" w:eastAsia="楷体" w:cs="楷体"/>
                <w:i w:val="0"/>
                <w:iCs w:val="0"/>
                <w:color w:val="000000"/>
                <w:kern w:val="0"/>
                <w:sz w:val="22"/>
                <w:szCs w:val="22"/>
                <w:u w:val="none"/>
                <w:lang w:val="en-US" w:eastAsia="zh-CN" w:bidi="ar"/>
              </w:rPr>
              <w:t>催化</w:t>
            </w:r>
            <w:r>
              <w:rPr>
                <w:rStyle w:val="8"/>
                <w:lang w:val="en-US" w:eastAsia="zh-CN" w:bidi="ar"/>
              </w:rPr>
              <w:t>•</w:t>
            </w:r>
            <w:r>
              <w:rPr>
                <w:rFonts w:hint="eastAsia" w:ascii="楷体" w:hAnsi="楷体" w:eastAsia="楷体" w:cs="楷体"/>
                <w:i w:val="0"/>
                <w:iCs w:val="0"/>
                <w:color w:val="000000"/>
                <w:kern w:val="0"/>
                <w:sz w:val="22"/>
                <w:szCs w:val="22"/>
                <w:u w:val="none"/>
                <w:lang w:val="en-US" w:eastAsia="zh-CN" w:bidi="ar"/>
              </w:rPr>
              <w:t>优化”实践教学模式改革与实践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陈小燕</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29</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基于知识图谱视听课程群学习系统的构建与应用研究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朱喜基</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30</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“三全育人”背景下本科生导师制学生核心能力培养研究与实践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邹爱丽</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31</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地方应用型高校劳动教育课程体系的构建与实施路径研究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罗晶</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32</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 “工程教育认证+课程思政”视域下土建类专业人才培养改革与实践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郭华</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33</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少儿舞培企业与地方高校舞蹈专业“产学研用”协同发展研究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聂晶</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34</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 “多元协同”的地方院校广告学专业创新创业人才培养研究与实践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曾玉琴</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35</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数智时代背景下普通本科院校复合型文化产业人才培养模式研究——以文化产业管理专业建设为例      </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刘进</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36</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“思政教育、专业知识、创新能力”三位一体的高等数学教学模式探索</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王梦丹</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37</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基于HPS教育的《力学》课程思政教学探索与实践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李爱华</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38</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BOPPPS模式在《新媒体运营》翻转课堂教学中的应用探索</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屈济荣</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39</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新文科视域下广播电视编导专业课程思政的探索与实践 </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王星</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40</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新文科语境下地方院校室内设计课程教学精准化的变革与实践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匡丽春</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41</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成果导向教育（OBE）理念下网络与新媒体专业实践教学模式构建研究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刘芝庭</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42</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生态系统理论视域下《会计学原理》课程交互式教学模式研究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邓凌峰</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43</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工程教育认证背景下以成果为导向的《细胞生物学》课程教学改革与实践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唐冬芳</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44</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基于创新型应用型复合人才培养模式的《中药化学实验》教学研究改革</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王峥</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45</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基于创新创业思维培养的制药工程专业无机化学教学研究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姜红宇</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46</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“以美育德”融入高校油画专业课程思政教学模式研究与实践</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吴梁君</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47</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经管类专业课程思政教育与专业教育“双向融合”的创新教学模式研究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黄超群</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48</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专业认证背景下大学语文建设“一流本科课程”教学体系研究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周艳华</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49</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《统计学》课程思政教学改革与实践研究</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陈琼</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2"/>
                <w:szCs w:val="22"/>
                <w:u w:val="none"/>
                <w:lang w:val="en-US" w:eastAsia="zh-CN" w:bidi="ar"/>
              </w:rPr>
              <w:t>50</w:t>
            </w:r>
          </w:p>
        </w:tc>
        <w:tc>
          <w:tcPr>
            <w:tcW w:w="562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师范类专业认证背景下物理化学实验教学改革及实践研究 ——以湖南科技学院为例</w:t>
            </w:r>
          </w:p>
        </w:tc>
        <w:tc>
          <w:tcPr>
            <w:tcW w:w="88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王琼</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一般项目</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240" w:firstLine="480"/>
        <w:rPr>
          <w:rFonts w:hint="eastAsia" w:ascii="仿宋_GB2312" w:hAnsi="宋体" w:eastAsia="仿宋_GB2312" w:cs="仿宋_GB2312"/>
          <w:b w:val="0"/>
          <w:i w:val="0"/>
          <w:caps w:val="0"/>
          <w:color w:val="auto"/>
          <w:spacing w:val="0"/>
          <w:sz w:val="24"/>
          <w:szCs w:val="24"/>
          <w:shd w:val="clear" w:fill="FFFFFF"/>
          <w:lang w:val="en-US" w:eastAsia="zh-CN"/>
        </w:rPr>
      </w:pPr>
    </w:p>
    <w:sectPr>
      <w:pgSz w:w="11906" w:h="16838"/>
      <w:pgMar w:top="1531" w:right="1800" w:bottom="1531"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5OWY2MjI5ZTg5Y2FlYjIxZTYzNzIxZjVhNWFmMDcifQ=="/>
  </w:docVars>
  <w:rsids>
    <w:rsidRoot w:val="00172A27"/>
    <w:rsid w:val="003A467B"/>
    <w:rsid w:val="006F3EBF"/>
    <w:rsid w:val="009E0B5C"/>
    <w:rsid w:val="00A11C3F"/>
    <w:rsid w:val="00EC313E"/>
    <w:rsid w:val="011451CE"/>
    <w:rsid w:val="02640A44"/>
    <w:rsid w:val="03020D8C"/>
    <w:rsid w:val="03691F89"/>
    <w:rsid w:val="05B941CD"/>
    <w:rsid w:val="05DA232A"/>
    <w:rsid w:val="05DB5063"/>
    <w:rsid w:val="05E7159F"/>
    <w:rsid w:val="07410C69"/>
    <w:rsid w:val="07A53C69"/>
    <w:rsid w:val="07E8334B"/>
    <w:rsid w:val="08763616"/>
    <w:rsid w:val="09ED3DDD"/>
    <w:rsid w:val="0A0D0E47"/>
    <w:rsid w:val="0A432287"/>
    <w:rsid w:val="0A89679E"/>
    <w:rsid w:val="0B6264E4"/>
    <w:rsid w:val="0B7D3DAB"/>
    <w:rsid w:val="0B806EC8"/>
    <w:rsid w:val="0B984583"/>
    <w:rsid w:val="0BDE1169"/>
    <w:rsid w:val="0C9E3613"/>
    <w:rsid w:val="0D471A5D"/>
    <w:rsid w:val="0DB1490F"/>
    <w:rsid w:val="0DBB642C"/>
    <w:rsid w:val="0DD01FDB"/>
    <w:rsid w:val="0DF93A75"/>
    <w:rsid w:val="0E604414"/>
    <w:rsid w:val="0EA43D59"/>
    <w:rsid w:val="0EE3146B"/>
    <w:rsid w:val="0F0B577A"/>
    <w:rsid w:val="0FD60CF8"/>
    <w:rsid w:val="10B557E9"/>
    <w:rsid w:val="10CC3FD3"/>
    <w:rsid w:val="110263D7"/>
    <w:rsid w:val="116573AC"/>
    <w:rsid w:val="11984AE0"/>
    <w:rsid w:val="11B81180"/>
    <w:rsid w:val="12AA08AA"/>
    <w:rsid w:val="14005D40"/>
    <w:rsid w:val="1508527B"/>
    <w:rsid w:val="15F60C94"/>
    <w:rsid w:val="161577CA"/>
    <w:rsid w:val="170C4936"/>
    <w:rsid w:val="17666189"/>
    <w:rsid w:val="176F77C8"/>
    <w:rsid w:val="17C62A10"/>
    <w:rsid w:val="1822108F"/>
    <w:rsid w:val="18254F3F"/>
    <w:rsid w:val="185D7788"/>
    <w:rsid w:val="19D674B7"/>
    <w:rsid w:val="1AE25C22"/>
    <w:rsid w:val="1B004B98"/>
    <w:rsid w:val="1B8D383A"/>
    <w:rsid w:val="1B8F37D2"/>
    <w:rsid w:val="1C0F2185"/>
    <w:rsid w:val="1C6D2F68"/>
    <w:rsid w:val="1DE07BA3"/>
    <w:rsid w:val="1E457A3F"/>
    <w:rsid w:val="1E4B7A66"/>
    <w:rsid w:val="1EE148CB"/>
    <w:rsid w:val="1F5F5118"/>
    <w:rsid w:val="1FA32664"/>
    <w:rsid w:val="1FBA05A1"/>
    <w:rsid w:val="2004284F"/>
    <w:rsid w:val="20320F44"/>
    <w:rsid w:val="20527A55"/>
    <w:rsid w:val="212B74E7"/>
    <w:rsid w:val="215A6542"/>
    <w:rsid w:val="21B547C2"/>
    <w:rsid w:val="225073F5"/>
    <w:rsid w:val="22D44F4F"/>
    <w:rsid w:val="242646E2"/>
    <w:rsid w:val="24615AD2"/>
    <w:rsid w:val="24DB1648"/>
    <w:rsid w:val="250D1CB2"/>
    <w:rsid w:val="252A336F"/>
    <w:rsid w:val="26594A43"/>
    <w:rsid w:val="26F75BBD"/>
    <w:rsid w:val="27704FA4"/>
    <w:rsid w:val="27EA397A"/>
    <w:rsid w:val="281E06A0"/>
    <w:rsid w:val="283F5035"/>
    <w:rsid w:val="28773A02"/>
    <w:rsid w:val="288D1785"/>
    <w:rsid w:val="296B45A0"/>
    <w:rsid w:val="29A11091"/>
    <w:rsid w:val="2A4D74D2"/>
    <w:rsid w:val="2A8D4191"/>
    <w:rsid w:val="2AA25896"/>
    <w:rsid w:val="2AB02083"/>
    <w:rsid w:val="2B464A23"/>
    <w:rsid w:val="2BAC4979"/>
    <w:rsid w:val="2C6B6A20"/>
    <w:rsid w:val="2C7B50B0"/>
    <w:rsid w:val="2C8A4AF9"/>
    <w:rsid w:val="2CCE0EC8"/>
    <w:rsid w:val="2E00195A"/>
    <w:rsid w:val="2ECA519A"/>
    <w:rsid w:val="2EE854F1"/>
    <w:rsid w:val="2F467322"/>
    <w:rsid w:val="302E0799"/>
    <w:rsid w:val="31345054"/>
    <w:rsid w:val="314F7A82"/>
    <w:rsid w:val="321C02B1"/>
    <w:rsid w:val="3277606C"/>
    <w:rsid w:val="32F66028"/>
    <w:rsid w:val="33835375"/>
    <w:rsid w:val="3432568E"/>
    <w:rsid w:val="34696EA9"/>
    <w:rsid w:val="34C47662"/>
    <w:rsid w:val="354E20D1"/>
    <w:rsid w:val="35730BFC"/>
    <w:rsid w:val="36844C01"/>
    <w:rsid w:val="36D464DC"/>
    <w:rsid w:val="371A6883"/>
    <w:rsid w:val="373F3C47"/>
    <w:rsid w:val="377905DD"/>
    <w:rsid w:val="38986A4E"/>
    <w:rsid w:val="389B08E0"/>
    <w:rsid w:val="38CE40DC"/>
    <w:rsid w:val="3A21003A"/>
    <w:rsid w:val="3AB65A59"/>
    <w:rsid w:val="3AC638C6"/>
    <w:rsid w:val="3B2B5171"/>
    <w:rsid w:val="3BCA61A3"/>
    <w:rsid w:val="3C501C7B"/>
    <w:rsid w:val="3C763E9B"/>
    <w:rsid w:val="3C847123"/>
    <w:rsid w:val="3CD8507B"/>
    <w:rsid w:val="3DEE479E"/>
    <w:rsid w:val="3E272866"/>
    <w:rsid w:val="3E2963C6"/>
    <w:rsid w:val="3F514398"/>
    <w:rsid w:val="3FAA7166"/>
    <w:rsid w:val="3FCE45FA"/>
    <w:rsid w:val="404F4BBA"/>
    <w:rsid w:val="40514642"/>
    <w:rsid w:val="40AC6876"/>
    <w:rsid w:val="41614DCC"/>
    <w:rsid w:val="41E278E2"/>
    <w:rsid w:val="42967EF1"/>
    <w:rsid w:val="43255B01"/>
    <w:rsid w:val="449D6B07"/>
    <w:rsid w:val="44E5269F"/>
    <w:rsid w:val="44EF3CFB"/>
    <w:rsid w:val="452A7C82"/>
    <w:rsid w:val="4565330A"/>
    <w:rsid w:val="45756FC5"/>
    <w:rsid w:val="45E31CC6"/>
    <w:rsid w:val="46C029E0"/>
    <w:rsid w:val="46EE1A3A"/>
    <w:rsid w:val="47472E4C"/>
    <w:rsid w:val="475000BA"/>
    <w:rsid w:val="48151604"/>
    <w:rsid w:val="481C4B6C"/>
    <w:rsid w:val="488B1B95"/>
    <w:rsid w:val="49161371"/>
    <w:rsid w:val="4922285B"/>
    <w:rsid w:val="492F2C2E"/>
    <w:rsid w:val="4940104C"/>
    <w:rsid w:val="49B70719"/>
    <w:rsid w:val="4A854C57"/>
    <w:rsid w:val="4B0B2DD0"/>
    <w:rsid w:val="4B420BA9"/>
    <w:rsid w:val="4BFF1687"/>
    <w:rsid w:val="4C0914D3"/>
    <w:rsid w:val="4C685C78"/>
    <w:rsid w:val="4C9E0BB1"/>
    <w:rsid w:val="4CB353F8"/>
    <w:rsid w:val="4DD46ED7"/>
    <w:rsid w:val="4E097F0B"/>
    <w:rsid w:val="4E3B0952"/>
    <w:rsid w:val="4E804D88"/>
    <w:rsid w:val="51275918"/>
    <w:rsid w:val="523E525F"/>
    <w:rsid w:val="52732553"/>
    <w:rsid w:val="52B3432C"/>
    <w:rsid w:val="52C56CC4"/>
    <w:rsid w:val="53242DE2"/>
    <w:rsid w:val="532E72BD"/>
    <w:rsid w:val="536B7BA7"/>
    <w:rsid w:val="55750B37"/>
    <w:rsid w:val="55A122F1"/>
    <w:rsid w:val="55CF7BBD"/>
    <w:rsid w:val="55E92ADE"/>
    <w:rsid w:val="55F64186"/>
    <w:rsid w:val="560C4060"/>
    <w:rsid w:val="56385588"/>
    <w:rsid w:val="56B26AF8"/>
    <w:rsid w:val="578B68AC"/>
    <w:rsid w:val="593030DD"/>
    <w:rsid w:val="5A081DF7"/>
    <w:rsid w:val="5AED78C6"/>
    <w:rsid w:val="5B3129FF"/>
    <w:rsid w:val="5B3866C3"/>
    <w:rsid w:val="5BE030C4"/>
    <w:rsid w:val="5C786A0B"/>
    <w:rsid w:val="5CD62F41"/>
    <w:rsid w:val="5CFB1F63"/>
    <w:rsid w:val="5D7153D1"/>
    <w:rsid w:val="5EDD3194"/>
    <w:rsid w:val="5F64527D"/>
    <w:rsid w:val="5FC471D6"/>
    <w:rsid w:val="60574C15"/>
    <w:rsid w:val="60FC07B7"/>
    <w:rsid w:val="62355FED"/>
    <w:rsid w:val="62E41B03"/>
    <w:rsid w:val="62F954A5"/>
    <w:rsid w:val="636876EB"/>
    <w:rsid w:val="63B93AD8"/>
    <w:rsid w:val="63EB2370"/>
    <w:rsid w:val="641357BA"/>
    <w:rsid w:val="64964E80"/>
    <w:rsid w:val="659D5B90"/>
    <w:rsid w:val="675E092F"/>
    <w:rsid w:val="67B34139"/>
    <w:rsid w:val="67FB3202"/>
    <w:rsid w:val="68295B37"/>
    <w:rsid w:val="688C2914"/>
    <w:rsid w:val="6AAA722F"/>
    <w:rsid w:val="6B9A1C4E"/>
    <w:rsid w:val="6BBD4259"/>
    <w:rsid w:val="6BFD6AEB"/>
    <w:rsid w:val="6C864C04"/>
    <w:rsid w:val="6CB71287"/>
    <w:rsid w:val="6CBE2E40"/>
    <w:rsid w:val="6D1754D7"/>
    <w:rsid w:val="6D492054"/>
    <w:rsid w:val="6E1201BC"/>
    <w:rsid w:val="6E9D04E9"/>
    <w:rsid w:val="6F01478A"/>
    <w:rsid w:val="6F031127"/>
    <w:rsid w:val="6FBF1AB7"/>
    <w:rsid w:val="70656CBF"/>
    <w:rsid w:val="72731019"/>
    <w:rsid w:val="72844B7E"/>
    <w:rsid w:val="7293589D"/>
    <w:rsid w:val="72EB58DA"/>
    <w:rsid w:val="72F54FF8"/>
    <w:rsid w:val="730E0BBC"/>
    <w:rsid w:val="735E187E"/>
    <w:rsid w:val="74582C81"/>
    <w:rsid w:val="74587457"/>
    <w:rsid w:val="748D4F00"/>
    <w:rsid w:val="751A7133"/>
    <w:rsid w:val="7525608D"/>
    <w:rsid w:val="75486937"/>
    <w:rsid w:val="761F4FB3"/>
    <w:rsid w:val="771230A4"/>
    <w:rsid w:val="77B26ECB"/>
    <w:rsid w:val="77B46AFA"/>
    <w:rsid w:val="77D05645"/>
    <w:rsid w:val="78AF4244"/>
    <w:rsid w:val="78C65769"/>
    <w:rsid w:val="7A144737"/>
    <w:rsid w:val="7A82687C"/>
    <w:rsid w:val="7AE42667"/>
    <w:rsid w:val="7BB37C14"/>
    <w:rsid w:val="7BE30A4C"/>
    <w:rsid w:val="7C8F4B37"/>
    <w:rsid w:val="7CEC6D70"/>
    <w:rsid w:val="7D2C4A4B"/>
    <w:rsid w:val="7D51565F"/>
    <w:rsid w:val="7DEE7639"/>
    <w:rsid w:val="7F01353C"/>
    <w:rsid w:val="7F5C2DEC"/>
    <w:rsid w:val="7F617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character" w:customStyle="1" w:styleId="6">
    <w:name w:val="font21"/>
    <w:basedOn w:val="4"/>
    <w:qFormat/>
    <w:uiPriority w:val="0"/>
    <w:rPr>
      <w:rFonts w:hint="eastAsia" w:ascii="宋体" w:hAnsi="宋体" w:eastAsia="宋体" w:cs="宋体"/>
      <w:color w:val="000000"/>
      <w:sz w:val="22"/>
      <w:szCs w:val="22"/>
      <w:u w:val="none"/>
    </w:rPr>
  </w:style>
  <w:style w:type="character" w:customStyle="1" w:styleId="7">
    <w:name w:val="font11"/>
    <w:basedOn w:val="4"/>
    <w:qFormat/>
    <w:uiPriority w:val="0"/>
    <w:rPr>
      <w:rFonts w:hint="eastAsia" w:ascii="宋体" w:hAnsi="宋体" w:eastAsia="宋体" w:cs="宋体"/>
      <w:color w:val="000000"/>
      <w:sz w:val="24"/>
      <w:szCs w:val="24"/>
      <w:u w:val="none"/>
    </w:rPr>
  </w:style>
  <w:style w:type="character" w:customStyle="1" w:styleId="8">
    <w:name w:val="font31"/>
    <w:basedOn w:val="4"/>
    <w:qFormat/>
    <w:uiPriority w:val="0"/>
    <w:rPr>
      <w:rFonts w:hint="eastAsia" w:ascii="宋体" w:hAnsi="宋体" w:eastAsia="宋体" w:cs="宋体"/>
      <w:color w:val="000000"/>
      <w:sz w:val="22"/>
      <w:szCs w:val="22"/>
      <w:u w:val="none"/>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1803</Words>
  <Characters>1878</Characters>
  <Lines>1</Lines>
  <Paragraphs>1</Paragraphs>
  <TotalTime>97</TotalTime>
  <ScaleCrop>false</ScaleCrop>
  <LinksUpToDate>false</LinksUpToDate>
  <CharactersWithSpaces>1931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2014-10-29T12:08:00Z</dcterms:created>
  <dc:creator>Administrator</dc:creator>
  <cp:lastModifiedBy>Administrator</cp:lastModifiedBy>
  <cp:lastPrinted>2022-05-27T03:13:00Z</cp:lastPrinted>
  <dcterms:modified xsi:type="dcterms:W3CDTF">2022-05-30T03:44:50Z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7A7756FD55BF4314AAC42F6973CE0CB7</vt:lpwstr>
  </property>
</Properties>
</file>